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>Пресс-релиз от 24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 xml:space="preserve">Семьи могут оплатить материнским капиталом </w:t>
      </w:r>
      <w:bookmarkStart w:id="0" w:name="__DdeLink__72_1875835602"/>
      <w:bookmarkEnd w:id="0"/>
      <w:r>
        <w:rPr>
          <w:b/>
          <w:color w:val="0000FF"/>
        </w:rPr>
        <w:t>услуги индивидуальных предпринимателей по обучению и присмотру за детьми</w:t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Раньше оплатить перечисленные услуги можно было только в том случае, если они предоставлялись юридическими лицами.</w:t>
        <w:br/>
        <w:t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самозанятого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«Материнский капитал периодически получает обновления, которые делают распоряжение средствами более простым и удобным. Оплата детских садов, секций и занятий, организованных индивидуальными предпринимателями, – это хорошее дополнение возможностей материнского капитала, которое особенно кстати в преддверии приближающегося нового учебного года» - прокомментировал Сергей Чирков, исполняющий обязанности председателя Правления Пенсионного фонда России.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Отправить заявление можно и через портал госуслуг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допускается на любого из детей в семье.</w:t>
        <w:br/>
        <w:t>Справочно: в Томской области обучение детей является третьим по востребованности направлением материнского капитала после улучшения жилищных условий. За все время на оплату детских садов и школ было выделено свыше 91 млн. рублей.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bookmarkStart w:id="1" w:name="_GoBack"/>
      <w:bookmarkStart w:id="2" w:name="_GoBack"/>
      <w:bookmarkEnd w:id="2"/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885-B30C-4540-A9F9-E86E766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2022-08-24T13:51:25Z</dcterms:modified>
  <cp:revision>16</cp:revision>
  <dc:title>Отделение Пенсионного фонда РФ по Томской области</dc:title>
</cp:coreProperties>
</file>